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545556970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5E2A54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B835FA">
        <w:rPr>
          <w:rFonts w:ascii="Times New Roman" w:hAnsi="Times New Roman" w:cs="Times New Roman"/>
          <w:sz w:val="22"/>
          <w:szCs w:val="22"/>
        </w:rPr>
        <w:t>10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5E2A54" w:rsidRPr="005E2A54">
        <w:rPr>
          <w:rFonts w:ascii="Times New Roman" w:hAnsi="Times New Roman" w:cs="Times New Roman"/>
          <w:sz w:val="22"/>
          <w:szCs w:val="22"/>
        </w:rPr>
        <w:t>0</w:t>
      </w:r>
      <w:r w:rsidR="00B835FA">
        <w:rPr>
          <w:rFonts w:ascii="Times New Roman" w:hAnsi="Times New Roman" w:cs="Times New Roman"/>
          <w:sz w:val="22"/>
          <w:szCs w:val="22"/>
        </w:rPr>
        <w:t>1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B835FA">
        <w:rPr>
          <w:rFonts w:ascii="Times New Roman" w:hAnsi="Times New Roman" w:cs="Times New Roman"/>
          <w:sz w:val="22"/>
          <w:szCs w:val="22"/>
        </w:rPr>
        <w:t>7</w:t>
      </w:r>
    </w:p>
    <w:p w:rsidR="00980458" w:rsidRPr="005E2A54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04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E360DA">
        <w:rPr>
          <w:rFonts w:ascii="Times New Roman" w:hAnsi="Times New Roman" w:cs="Times New Roman"/>
          <w:sz w:val="22"/>
          <w:szCs w:val="22"/>
          <w:lang w:val="el-GR"/>
        </w:rPr>
        <w:t>Χ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6F5FB1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2E7475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Ιωάννου</w:t>
      </w:r>
      <w:r w:rsidR="00D40987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6</w:t>
      </w:r>
      <w:r w:rsidR="00D40987">
        <w:rPr>
          <w:rFonts w:ascii="Times New Roman" w:hAnsi="Times New Roman" w:cs="Times New Roman"/>
          <w:sz w:val="22"/>
          <w:szCs w:val="22"/>
          <w:lang w:val="el-GR"/>
        </w:rPr>
        <w:t>5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 xml:space="preserve"> και Ελευθερίας 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153 42 Αγία Παρασκευή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Καπανδριτίου</w:t>
      </w:r>
    </w:p>
    <w:p w:rsidR="00807C57" w:rsidRPr="00CD5DDB" w:rsidRDefault="00454FAC" w:rsidP="00454FAC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B4675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B835FA">
        <w:rPr>
          <w:rFonts w:ascii="Times New Roman" w:hAnsi="Times New Roman" w:cs="Times New Roman"/>
          <w:sz w:val="22"/>
          <w:szCs w:val="22"/>
          <w:lang w:val="el-GR"/>
        </w:rPr>
        <w:t>190 14 Καπανδρίτι</w:t>
      </w:r>
    </w:p>
    <w:p w:rsidR="00712E5B" w:rsidRPr="006F5FB1" w:rsidRDefault="00712E5B" w:rsidP="00712E5B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0B1B61" w:rsidRDefault="000F40C9" w:rsidP="000F40C9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F708D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CF708D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επί Μελέτης Περιβαλλοντικών Επιπτώσεων (ΜΠΕ) για τη λειτουργία υφιστάμενης πτηνοτροφικής μονάδας εκτροφής κοτόπουλων πάχυνσης 60.000 θέσεων της εταιρείας «Θ. Κοντοστέργιος-Στ. Μπουφίδη Ο.Ε.», στη θέση ‘Σαμουήλι ή Σαμοχείλι’ Δ.Ε. Αυλώνα Δήμου Ωρωπού Περιφερειακής Ενότητας Ανατολικής Αττικής</w:t>
      </w:r>
      <w:r w:rsidR="000B1B61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5F741F" w:rsidRPr="000B1B61" w:rsidRDefault="005F741F" w:rsidP="005F741F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70202/5356/12-09-2016 έγγραφο Δ/νσης Περιβάλλοντος και Χωρικού Σχεδιασμού</w:t>
      </w:r>
    </w:p>
    <w:p w:rsidR="006A2B14" w:rsidRPr="006A2B14" w:rsidRDefault="00053B7E" w:rsidP="000B1B61">
      <w:pPr>
        <w:ind w:left="85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2466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19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09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6A2B14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Συντονισμού και Επιθεώρησης Δασών</w:t>
      </w:r>
    </w:p>
    <w:p w:rsidR="00053B7E" w:rsidRDefault="006A2B14" w:rsidP="000B1B61">
      <w:pPr>
        <w:ind w:left="85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2662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30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0B1B61"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0B1B61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Δασαρχείου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>Καπανδριτίου</w:t>
      </w:r>
    </w:p>
    <w:p w:rsidR="00053B7E" w:rsidRPr="00CD5DDB" w:rsidRDefault="007539B8" w:rsidP="000B1B61">
      <w:pPr>
        <w:ind w:left="85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8E32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="005F741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5976</w:t>
      </w:r>
      <w:r w:rsidR="0066562A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0B1B61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0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1</w:t>
      </w:r>
      <w:r w:rsidR="000B1B61">
        <w:rPr>
          <w:rFonts w:ascii="Times New Roman" w:hAnsi="Times New Roman" w:cs="Times New Roman"/>
          <w:bCs/>
          <w:sz w:val="22"/>
          <w:szCs w:val="22"/>
          <w:lang w:val="el-GR"/>
        </w:rPr>
        <w:t>2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0B1B61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="00053B7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Δ/νσης Δασών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Ανατολικής Αττικής</w:t>
      </w:r>
    </w:p>
    <w:p w:rsidR="001304C2" w:rsidRPr="002B5C99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0153B9" w:rsidRDefault="00DF38EE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ED708A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ε σ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υνέχεια τ</w:t>
      </w:r>
      <w:r w:rsidR="003B6F5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(α) </w:t>
      </w:r>
      <w:r w:rsidR="003B6F55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</w:t>
      </w:r>
      <w:r w:rsidR="00121B7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</w:t>
      </w:r>
      <w:r w:rsidR="006A2B14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ανωτέρω (β)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σχετικού μας,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σας αποστέλλουμε 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συνημμένως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φωτοαντίγραφα των ανωτέρω (</w:t>
      </w:r>
      <w:r w:rsidR="00B747B1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(δ)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σχετικών 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τις απόψεις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Καπανδριτίου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Ανατολικής Αττικής 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E5593F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053B7E" w:rsidRPr="00B747B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2B5C9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σύμφωνα με τα οποία τμήμα εμβαδού 688 τ.μ. από την εδαφική έκταση της εν θέματι εγκατάστασης αποτελεί εκχερσωμένη έκταση και επομένως </w:t>
      </w:r>
      <w:r w:rsidR="00A23AB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εν λόγω εδαφικό τμήμα </w:t>
      </w:r>
      <w:r w:rsidR="007539B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οφείλει </w:t>
      </w:r>
      <w:r w:rsidR="00121B76">
        <w:rPr>
          <w:rFonts w:ascii="Times New Roman" w:hAnsi="Times New Roman" w:cs="Times New Roman"/>
          <w:bCs/>
          <w:sz w:val="22"/>
          <w:szCs w:val="22"/>
          <w:lang w:val="el-GR"/>
        </w:rPr>
        <w:t>να εξαιρεθεί της περιβαλλοντικής αδειοδότησης.</w:t>
      </w:r>
    </w:p>
    <w:p w:rsidR="00A23AB9" w:rsidRDefault="00A23AB9" w:rsidP="005F741F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Κατόπιν των ανωτέρω παρακαλείσθε για τις δικές σας ενέργειες.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6F5FB1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92D9B" w:rsidRDefault="00D92D9B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2B5C99" w:rsidRPr="006F5FB1" w:rsidRDefault="002B5C9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6F5FB1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077D0"/>
    <w:rsid w:val="000153B9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1B61"/>
    <w:rsid w:val="000B3DDB"/>
    <w:rsid w:val="000B6469"/>
    <w:rsid w:val="000B77D8"/>
    <w:rsid w:val="000C6BBE"/>
    <w:rsid w:val="000E17F5"/>
    <w:rsid w:val="000E4B52"/>
    <w:rsid w:val="000E6496"/>
    <w:rsid w:val="000F386A"/>
    <w:rsid w:val="000F40C9"/>
    <w:rsid w:val="000F56EB"/>
    <w:rsid w:val="000F76D3"/>
    <w:rsid w:val="001037B2"/>
    <w:rsid w:val="00105781"/>
    <w:rsid w:val="001063CD"/>
    <w:rsid w:val="00121B76"/>
    <w:rsid w:val="00123A69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15E8"/>
    <w:rsid w:val="00183FD7"/>
    <w:rsid w:val="00185BC0"/>
    <w:rsid w:val="00187260"/>
    <w:rsid w:val="001925B5"/>
    <w:rsid w:val="00194C09"/>
    <w:rsid w:val="001A1AF1"/>
    <w:rsid w:val="001A5D8F"/>
    <w:rsid w:val="001B02FF"/>
    <w:rsid w:val="001B0EC8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A05C9"/>
    <w:rsid w:val="002A1CE9"/>
    <w:rsid w:val="002B3830"/>
    <w:rsid w:val="002B5C99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20"/>
    <w:rsid w:val="00307EA2"/>
    <w:rsid w:val="00310586"/>
    <w:rsid w:val="00310D55"/>
    <w:rsid w:val="00322B46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5652"/>
    <w:rsid w:val="00406B17"/>
    <w:rsid w:val="00407764"/>
    <w:rsid w:val="00414C84"/>
    <w:rsid w:val="004152C9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B22F7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785D"/>
    <w:rsid w:val="00570677"/>
    <w:rsid w:val="00575486"/>
    <w:rsid w:val="0058091E"/>
    <w:rsid w:val="005818D8"/>
    <w:rsid w:val="00586ABE"/>
    <w:rsid w:val="005C7136"/>
    <w:rsid w:val="005E2A54"/>
    <w:rsid w:val="005E3D60"/>
    <w:rsid w:val="005F741F"/>
    <w:rsid w:val="00601C1F"/>
    <w:rsid w:val="00603B83"/>
    <w:rsid w:val="00610C89"/>
    <w:rsid w:val="0061386C"/>
    <w:rsid w:val="00655A61"/>
    <w:rsid w:val="006636FF"/>
    <w:rsid w:val="006650DF"/>
    <w:rsid w:val="0066562A"/>
    <w:rsid w:val="006709FE"/>
    <w:rsid w:val="00672DCF"/>
    <w:rsid w:val="00672DF5"/>
    <w:rsid w:val="00681A3F"/>
    <w:rsid w:val="006944A0"/>
    <w:rsid w:val="006A0230"/>
    <w:rsid w:val="006A20A6"/>
    <w:rsid w:val="006A2B14"/>
    <w:rsid w:val="006A65B6"/>
    <w:rsid w:val="006A6E4D"/>
    <w:rsid w:val="006B2620"/>
    <w:rsid w:val="006D227F"/>
    <w:rsid w:val="006D41B3"/>
    <w:rsid w:val="006E4643"/>
    <w:rsid w:val="006E58FA"/>
    <w:rsid w:val="006F5FB1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39B8"/>
    <w:rsid w:val="00757984"/>
    <w:rsid w:val="00766F51"/>
    <w:rsid w:val="00772CAB"/>
    <w:rsid w:val="00782ECC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79D2"/>
    <w:rsid w:val="009750EC"/>
    <w:rsid w:val="00980458"/>
    <w:rsid w:val="0098107A"/>
    <w:rsid w:val="00987D72"/>
    <w:rsid w:val="009964AA"/>
    <w:rsid w:val="009B521F"/>
    <w:rsid w:val="009B5ADD"/>
    <w:rsid w:val="009C2EC8"/>
    <w:rsid w:val="009D678D"/>
    <w:rsid w:val="009E12EE"/>
    <w:rsid w:val="009F223A"/>
    <w:rsid w:val="009F6BD9"/>
    <w:rsid w:val="00A042FA"/>
    <w:rsid w:val="00A156D7"/>
    <w:rsid w:val="00A2337F"/>
    <w:rsid w:val="00A23AB9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67443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46755"/>
    <w:rsid w:val="00B51D0E"/>
    <w:rsid w:val="00B543A8"/>
    <w:rsid w:val="00B65042"/>
    <w:rsid w:val="00B700E0"/>
    <w:rsid w:val="00B71D1A"/>
    <w:rsid w:val="00B73502"/>
    <w:rsid w:val="00B739A0"/>
    <w:rsid w:val="00B747B1"/>
    <w:rsid w:val="00B77E44"/>
    <w:rsid w:val="00B805F3"/>
    <w:rsid w:val="00B82E5C"/>
    <w:rsid w:val="00B83117"/>
    <w:rsid w:val="00B835FA"/>
    <w:rsid w:val="00B92E82"/>
    <w:rsid w:val="00B958EA"/>
    <w:rsid w:val="00B95A78"/>
    <w:rsid w:val="00B95B71"/>
    <w:rsid w:val="00B97128"/>
    <w:rsid w:val="00BA653D"/>
    <w:rsid w:val="00BB51AB"/>
    <w:rsid w:val="00BC28EB"/>
    <w:rsid w:val="00BC6592"/>
    <w:rsid w:val="00BD4990"/>
    <w:rsid w:val="00BD75C7"/>
    <w:rsid w:val="00BE1208"/>
    <w:rsid w:val="00BE72BF"/>
    <w:rsid w:val="00BE75F9"/>
    <w:rsid w:val="00C0073E"/>
    <w:rsid w:val="00C11A55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203CE"/>
    <w:rsid w:val="00D3152A"/>
    <w:rsid w:val="00D36560"/>
    <w:rsid w:val="00D40987"/>
    <w:rsid w:val="00D42A4F"/>
    <w:rsid w:val="00D47B66"/>
    <w:rsid w:val="00D50AE1"/>
    <w:rsid w:val="00D57873"/>
    <w:rsid w:val="00D57AB6"/>
    <w:rsid w:val="00D64237"/>
    <w:rsid w:val="00D72FE9"/>
    <w:rsid w:val="00D7736B"/>
    <w:rsid w:val="00D83F17"/>
    <w:rsid w:val="00D92D9B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253D7"/>
    <w:rsid w:val="00E3239A"/>
    <w:rsid w:val="00E360DA"/>
    <w:rsid w:val="00E417A1"/>
    <w:rsid w:val="00E432E3"/>
    <w:rsid w:val="00E4509F"/>
    <w:rsid w:val="00E53F6D"/>
    <w:rsid w:val="00E5593F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07725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1960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6</cp:revision>
  <cp:lastPrinted>2016-03-09T11:17:00Z</cp:lastPrinted>
  <dcterms:created xsi:type="dcterms:W3CDTF">2017-01-10T10:22:00Z</dcterms:created>
  <dcterms:modified xsi:type="dcterms:W3CDTF">2017-01-10T10:36:00Z</dcterms:modified>
</cp:coreProperties>
</file>