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514625817" r:id="rId6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DA0F25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DA0F25" w:rsidRPr="00DA0F25">
        <w:rPr>
          <w:rFonts w:ascii="Times New Roman" w:hAnsi="Times New Roman" w:cs="Times New Roman"/>
          <w:sz w:val="22"/>
          <w:szCs w:val="22"/>
        </w:rPr>
        <w:t>18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DA0F25" w:rsidRPr="00DA0F25">
        <w:rPr>
          <w:rFonts w:ascii="Times New Roman" w:hAnsi="Times New Roman" w:cs="Times New Roman"/>
          <w:sz w:val="22"/>
          <w:szCs w:val="22"/>
        </w:rPr>
        <w:t>0</w:t>
      </w:r>
      <w:r w:rsidR="000F40C9">
        <w:rPr>
          <w:rFonts w:ascii="Times New Roman" w:hAnsi="Times New Roman" w:cs="Times New Roman"/>
          <w:sz w:val="22"/>
          <w:szCs w:val="22"/>
        </w:rPr>
        <w:t>1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DA0F25" w:rsidRPr="00DA0F25">
        <w:rPr>
          <w:rFonts w:ascii="Times New Roman" w:hAnsi="Times New Roman" w:cs="Times New Roman"/>
          <w:sz w:val="22"/>
          <w:szCs w:val="22"/>
        </w:rPr>
        <w:t>6</w:t>
      </w:r>
    </w:p>
    <w:p w:rsidR="00980458" w:rsidRPr="00DA0F25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DA0F25" w:rsidRPr="00DA0F25">
        <w:rPr>
          <w:rFonts w:ascii="Times New Roman" w:hAnsi="Times New Roman" w:cs="Times New Roman"/>
          <w:sz w:val="22"/>
          <w:szCs w:val="22"/>
          <w:lang w:val="el-GR"/>
        </w:rPr>
        <w:t>91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E360DA">
        <w:rPr>
          <w:rFonts w:ascii="Times New Roman" w:hAnsi="Times New Roman" w:cs="Times New Roman"/>
          <w:sz w:val="22"/>
          <w:szCs w:val="22"/>
          <w:lang w:val="el-GR"/>
        </w:rPr>
        <w:t>Χ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6F5FB1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Διονυσίου</w:t>
      </w:r>
      <w:r w:rsidR="00D40987">
        <w:rPr>
          <w:rFonts w:ascii="Times New Roman" w:hAnsi="Times New Roman" w:cs="Times New Roman"/>
          <w:sz w:val="22"/>
          <w:szCs w:val="22"/>
          <w:lang w:val="el-GR"/>
        </w:rPr>
        <w:t xml:space="preserve"> 5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185 45 Πειραιάς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454FAC" w:rsidRPr="00CD5DDB" w:rsidRDefault="00454FAC" w:rsidP="00454FAC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807C57" w:rsidRPr="00CD5DDB" w:rsidRDefault="00454FAC" w:rsidP="00454FAC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B4675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185 45 Πειραιάς</w:t>
      </w:r>
    </w:p>
    <w:p w:rsidR="00712E5B" w:rsidRPr="006F5FB1" w:rsidRDefault="00712E5B" w:rsidP="00712E5B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DA0F25" w:rsidRDefault="000F40C9" w:rsidP="00DA0F25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F708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CF708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Γνωμοδότηση επί 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Μελέτης Περιβαλλοντικών Επιπτώσεων (ΜΠΕ) </w:t>
      </w:r>
      <w:r w:rsidR="00DA0F25" w:rsidRPr="001528E7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>διορθωμένης ως προς τη θέση του σταθμού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 διαδικασία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τροποποίησης της απόφασης 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έγκρισης περιβαλλοντικών όρων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(ΑΕΠΟ) 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σταθμού κινητής τηλεφωνίας της εταιρείας 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«</w:t>
      </w:r>
      <w:r w:rsidR="00DA0F25">
        <w:rPr>
          <w:rFonts w:ascii="Times New Roman" w:hAnsi="Times New Roman" w:cs="Times New Roman"/>
          <w:bCs/>
          <w:sz w:val="22"/>
          <w:szCs w:val="22"/>
        </w:rPr>
        <w:t>WIND</w:t>
      </w:r>
      <w:r w:rsidR="00DA0F25" w:rsidRPr="0042611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ΕΛΛΑΣ  ΤΗΛΕΠΙΚΟΙΝΩΝΙΕΣ 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>Α.Ε.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Β.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>Ε.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»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 κωδικό θέσης «1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910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ΣΥΓΓΡΟΥ </w:t>
      </w:r>
      <w:r w:rsidR="00DA0F25">
        <w:rPr>
          <w:rFonts w:ascii="Times New Roman" w:hAnsi="Times New Roman" w:cs="Times New Roman"/>
          <w:bCs/>
          <w:sz w:val="22"/>
          <w:szCs w:val="22"/>
        </w:rPr>
        <w:t>HUB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»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ο οποίος έχει εγκατασταθεί </w:t>
      </w:r>
      <w:r w:rsidR="00DA0F25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κτηρίου στη θέση Λεωφόρος Συγγρού 294 και Αγνώστου Στρατιώτου, στο Δήμο Καλλιθέας Αττικής (με την προτεινόμενη τροποποίηση από σ/β κινητής τηλεφωνίας μετατρέπεται σε κομβικό σταθμό).</w:t>
      </w:r>
    </w:p>
    <w:p w:rsidR="00DA0F25" w:rsidRDefault="00DA0F25" w:rsidP="00DA0F25">
      <w:pPr>
        <w:ind w:left="964" w:hanging="96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Φ3505/883/ΠΕΡ.10/14/28-09-2015 έγγραφο της Διεύθυνσης Περιβάλλοντος και Χωρικού Σχεδιασμού</w:t>
      </w:r>
    </w:p>
    <w:p w:rsidR="00DA0F25" w:rsidRPr="006A2B14" w:rsidRDefault="00DA0F25" w:rsidP="00DA0F2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β) Το αριθμ. πρωτ. 2410/14-10-2015 έγγραφο Δ/νσης Συντονισμού και Επιθεώρησης Δασών</w:t>
      </w:r>
    </w:p>
    <w:p w:rsidR="00DA0F25" w:rsidRDefault="00DA0F25" w:rsidP="00DA0F2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Pr="006A2B14">
        <w:rPr>
          <w:rFonts w:ascii="Times New Roman" w:hAnsi="Times New Roman" w:cs="Times New Roman"/>
          <w:bCs/>
          <w:sz w:val="22"/>
          <w:szCs w:val="22"/>
          <w:lang w:val="el-GR"/>
        </w:rPr>
        <w:t>84252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Pr="006A2B14">
        <w:rPr>
          <w:rFonts w:ascii="Times New Roman" w:hAnsi="Times New Roman" w:cs="Times New Roman"/>
          <w:bCs/>
          <w:sz w:val="22"/>
          <w:szCs w:val="22"/>
          <w:lang w:val="el-GR"/>
        </w:rPr>
        <w:t>4323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Pr="006A2B14">
        <w:rPr>
          <w:rFonts w:ascii="Times New Roman" w:hAnsi="Times New Roman" w:cs="Times New Roman"/>
          <w:bCs/>
          <w:sz w:val="22"/>
          <w:szCs w:val="22"/>
          <w:lang w:val="el-GR"/>
        </w:rPr>
        <w:t>16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-1</w:t>
      </w:r>
      <w:r w:rsidRPr="006A2B14">
        <w:rPr>
          <w:rFonts w:ascii="Times New Roman" w:hAnsi="Times New Roman" w:cs="Times New Roman"/>
          <w:bCs/>
          <w:sz w:val="22"/>
          <w:szCs w:val="22"/>
          <w:lang w:val="el-GR"/>
        </w:rPr>
        <w:t>1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-2015 έγγραφο Δασαρχείου Πειραιά</w:t>
      </w:r>
    </w:p>
    <w:p w:rsidR="00DA0F25" w:rsidRDefault="00DA0F25" w:rsidP="00DA0F2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δ) Το αριθμ. πρωτ. 85694/2890/18-11-2015 έγγραφο Δ/νσης Δασών Πειραιά</w:t>
      </w:r>
    </w:p>
    <w:p w:rsidR="00DA0F25" w:rsidRDefault="00DA0F25" w:rsidP="00DA0F2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ε) Το αριθμ. πρωτ. 2845/23-11-2015 έγγραφο Δ/νσης Συντονισμού και Επιθεώρησης Δασών</w:t>
      </w:r>
    </w:p>
    <w:p w:rsidR="00DA0F25" w:rsidRDefault="00DA0F25" w:rsidP="00DA0F25">
      <w:pPr>
        <w:ind w:left="964" w:hanging="22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ζ)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Φ3505/5477/ΠΕΡ.10/15/05-11-2015 έγγραφο της Διεύθυνσης Περιβάλλοντος και Χωρικού Σχεδιασμού</w:t>
      </w:r>
    </w:p>
    <w:p w:rsidR="00DA0F25" w:rsidRDefault="00DA0F25" w:rsidP="00DA0F25">
      <w:pPr>
        <w:ind w:left="964" w:hanging="22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η) Το αριθμ. πρωτ. 2903/30-11-2015</w:t>
      </w:r>
      <w:r w:rsidRP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έγγραφο Δ/νσης Συντονισμού και Επιθεώρησης Δασών</w:t>
      </w:r>
    </w:p>
    <w:p w:rsidR="00DA0F25" w:rsidRDefault="00DA0F25" w:rsidP="00DA0F2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θ)  Το αριθμ. πρωτ. 90873/4740/08-01-2016 έγγραφο Δασαρχείου Πειραιά</w:t>
      </w:r>
    </w:p>
    <w:p w:rsidR="00DA0F25" w:rsidRPr="00DA0F25" w:rsidRDefault="00DA0F25" w:rsidP="00DA0F25">
      <w:pPr>
        <w:ind w:left="964" w:hanging="22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ι) Το αριθμ. πρωτ. 1353/50/13-01-2016 έγγραφο Δ/νσης Δασών Πειραιά</w:t>
      </w:r>
    </w:p>
    <w:p w:rsidR="001304C2" w:rsidRPr="006F5FB1" w:rsidRDefault="001304C2" w:rsidP="00DA0F25">
      <w:pPr>
        <w:ind w:left="794" w:hanging="794"/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0153B9" w:rsidRPr="00B747B1" w:rsidRDefault="00DF38EE" w:rsidP="005F741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ων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(ζ) </w:t>
      </w:r>
      <w:r w:rsidR="003B6F55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σχετικ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ών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που 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αφορούν 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CD5DDB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C62205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 περιβαλλοντικών όρων </w:t>
      </w:r>
      <w:r w:rsidR="008E32E8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 </w:t>
      </w:r>
      <w:r w:rsidR="00C11A55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έργου </w:t>
      </w:r>
      <w:r w:rsidR="0066562A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«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τροποποίησης της απόφασης έγκρισης περιβαλλοντικών όρων (ΑΕΠΟ) του σταθμού κινητής τηλεφωνίας της εταιρείας  «</w:t>
      </w:r>
      <w:r w:rsidR="006A2B14" w:rsidRPr="00B747B1">
        <w:rPr>
          <w:rFonts w:ascii="Times New Roman" w:hAnsi="Times New Roman" w:cs="Times New Roman"/>
          <w:bCs/>
          <w:sz w:val="22"/>
          <w:szCs w:val="22"/>
        </w:rPr>
        <w:t>WIND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ΕΛΛΑΣ  ΤΗΛΕΠΙΚΟΙΝΩΝΙΕΣ Α.Ε.Β.Ε.» με κωδικό θέσης «1910- ΣΥΓΓΡΟΥ </w:t>
      </w:r>
      <w:r w:rsidR="006A2B14" w:rsidRPr="00B747B1">
        <w:rPr>
          <w:rFonts w:ascii="Times New Roman" w:hAnsi="Times New Roman" w:cs="Times New Roman"/>
          <w:bCs/>
          <w:sz w:val="22"/>
          <w:szCs w:val="22"/>
        </w:rPr>
        <w:t>HUB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» ο οποίος έχει εγκατασταθεί επί κτηρίου στη θέση Λεωφόρος Συγγρού 29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Αγνώστου Στρατιώτου, στο Δήμο Καλλιθέας Αττικής (με την προτεινόμενη τροποποίηση από σ/β κινητής τηλεφωνίας μετατρέπεται σε κομβικό σταθμό) και τ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ων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(β)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, (ε) και (η)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σχετικ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ών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μας,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αποστέλλουμε 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συνημμένως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φωτοαντίγραφα των ανωτέρω (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ι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Δασαρχείου </w:t>
      </w:r>
      <w:r w:rsidR="0066562A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Πειραιά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Δ/νσης Δασών </w:t>
      </w:r>
      <w:r w:rsidR="0066562A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  <w:r w:rsidR="005F741F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αντίστοιχα και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σας γνωρίζουμε</w:t>
      </w:r>
      <w:r w:rsidR="00C70BCB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ότι η Υπηρεσία μας δεν έχει αντίρρηση για την περιβαλλοντική έγκριση του εν θέματι έργου καθόσον αυτό 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δεν 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εμπίπτει σε εδαφική </w:t>
      </w:r>
      <w:r w:rsidR="00123A6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έκταση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405652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που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23A6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διέπεται από τις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διατάξεις της δασικής νομοθεσίας σύμφωνα με τ</w:t>
      </w:r>
      <w:r w:rsidR="00405652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405652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διαλαμβανόμενα στο 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ανωτέρω (</w:t>
      </w:r>
      <w:r w:rsidR="00DA0F25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σχετικό Δασαρχείου </w:t>
      </w:r>
      <w:r w:rsidR="0066562A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  <w:r w:rsidR="000153B9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Pr="006F5FB1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BC69B7">
      <w:pgSz w:w="11907" w:h="16840" w:code="9"/>
      <w:pgMar w:top="567" w:right="1134" w:bottom="567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077D0"/>
    <w:rsid w:val="000153B9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40C9"/>
    <w:rsid w:val="000F56EB"/>
    <w:rsid w:val="000F76D3"/>
    <w:rsid w:val="001037B2"/>
    <w:rsid w:val="00105781"/>
    <w:rsid w:val="001063CD"/>
    <w:rsid w:val="00123A69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124F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5652"/>
    <w:rsid w:val="00406B17"/>
    <w:rsid w:val="00407764"/>
    <w:rsid w:val="00414C84"/>
    <w:rsid w:val="004152C9"/>
    <w:rsid w:val="00417358"/>
    <w:rsid w:val="004218EE"/>
    <w:rsid w:val="00426F38"/>
    <w:rsid w:val="0043050D"/>
    <w:rsid w:val="00443FE0"/>
    <w:rsid w:val="0044464E"/>
    <w:rsid w:val="0044635A"/>
    <w:rsid w:val="00454847"/>
    <w:rsid w:val="00454FAC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B22F7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5F741F"/>
    <w:rsid w:val="00601C1F"/>
    <w:rsid w:val="00603B83"/>
    <w:rsid w:val="00610C89"/>
    <w:rsid w:val="0061386C"/>
    <w:rsid w:val="00655A61"/>
    <w:rsid w:val="006636FF"/>
    <w:rsid w:val="006650DF"/>
    <w:rsid w:val="0066562A"/>
    <w:rsid w:val="006709FE"/>
    <w:rsid w:val="00672DCF"/>
    <w:rsid w:val="00672DF5"/>
    <w:rsid w:val="00681A3F"/>
    <w:rsid w:val="006944A0"/>
    <w:rsid w:val="006A0230"/>
    <w:rsid w:val="006A20A6"/>
    <w:rsid w:val="006A2B14"/>
    <w:rsid w:val="006A65B6"/>
    <w:rsid w:val="006A6E4D"/>
    <w:rsid w:val="006B2620"/>
    <w:rsid w:val="006D227F"/>
    <w:rsid w:val="006D41B3"/>
    <w:rsid w:val="006E4643"/>
    <w:rsid w:val="006F5FB1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82ECC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35F4"/>
    <w:rsid w:val="009679D2"/>
    <w:rsid w:val="009750EC"/>
    <w:rsid w:val="00980458"/>
    <w:rsid w:val="0098107A"/>
    <w:rsid w:val="00987D72"/>
    <w:rsid w:val="009964AA"/>
    <w:rsid w:val="009B521F"/>
    <w:rsid w:val="009B5ADD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46755"/>
    <w:rsid w:val="00B51D0E"/>
    <w:rsid w:val="00B543A8"/>
    <w:rsid w:val="00B65042"/>
    <w:rsid w:val="00B700E0"/>
    <w:rsid w:val="00B71D1A"/>
    <w:rsid w:val="00B73502"/>
    <w:rsid w:val="00B739A0"/>
    <w:rsid w:val="00B747B1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B51AB"/>
    <w:rsid w:val="00BC28EB"/>
    <w:rsid w:val="00BC6592"/>
    <w:rsid w:val="00BC69B7"/>
    <w:rsid w:val="00BD4990"/>
    <w:rsid w:val="00BD75C7"/>
    <w:rsid w:val="00BE1208"/>
    <w:rsid w:val="00BE72BF"/>
    <w:rsid w:val="00BE75F9"/>
    <w:rsid w:val="00C0073E"/>
    <w:rsid w:val="00C11A55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203CE"/>
    <w:rsid w:val="00D3152A"/>
    <w:rsid w:val="00D36560"/>
    <w:rsid w:val="00D40987"/>
    <w:rsid w:val="00D42A4F"/>
    <w:rsid w:val="00D47B66"/>
    <w:rsid w:val="00D50AE1"/>
    <w:rsid w:val="00D57873"/>
    <w:rsid w:val="00D57AB6"/>
    <w:rsid w:val="00D64237"/>
    <w:rsid w:val="00D72FE9"/>
    <w:rsid w:val="00D7736B"/>
    <w:rsid w:val="00D83F17"/>
    <w:rsid w:val="00DA0F25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253D7"/>
    <w:rsid w:val="00E3239A"/>
    <w:rsid w:val="00E360D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3012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2013-09-25T07:23:00Z</cp:lastPrinted>
  <dcterms:created xsi:type="dcterms:W3CDTF">2016-01-18T10:37:00Z</dcterms:created>
  <dcterms:modified xsi:type="dcterms:W3CDTF">2016-01-18T10:37:00Z</dcterms:modified>
</cp:coreProperties>
</file>